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57E" w:rsidRDefault="0050257E" w:rsidP="0050257E">
      <w:pPr>
        <w:bidi w:val="0"/>
        <w:spacing w:after="0" w:line="240" w:lineRule="auto"/>
        <w:rPr>
          <w:sz w:val="24"/>
          <w:szCs w:val="24"/>
        </w:rPr>
      </w:pPr>
      <w:r w:rsidRPr="0000388B">
        <w:rPr>
          <w:rFonts w:ascii="Arial" w:hAnsi="Arial" w:cs="Arial"/>
          <w:color w:val="222222"/>
          <w:sz w:val="24"/>
          <w:szCs w:val="24"/>
          <w:shd w:val="clear" w:color="auto" w:fill="FFFFFF"/>
        </w:rPr>
        <w:t>Latest status of ICS2 </w:t>
      </w:r>
      <w:r w:rsidRPr="0000388B">
        <w:rPr>
          <w:rStyle w:val="il"/>
          <w:rFonts w:ascii="Arial" w:hAnsi="Arial" w:cs="Arial"/>
          <w:color w:val="222222"/>
          <w:sz w:val="24"/>
          <w:szCs w:val="24"/>
          <w:shd w:val="clear" w:color="auto" w:fill="FFFFFF"/>
        </w:rPr>
        <w:t>Bulgaria</w:t>
      </w:r>
      <w:r w:rsidRPr="0000388B">
        <w:rPr>
          <w:rFonts w:ascii="Arial" w:hAnsi="Arial" w:cs="Arial"/>
          <w:color w:val="222222"/>
          <w:sz w:val="24"/>
          <w:szCs w:val="24"/>
        </w:rPr>
        <w:br/>
      </w:r>
      <w:r w:rsidRPr="0000388B">
        <w:rPr>
          <w:rFonts w:ascii="Arial" w:hAnsi="Arial" w:cs="Arial"/>
          <w:color w:val="222222"/>
          <w:sz w:val="24"/>
          <w:szCs w:val="24"/>
          <w:shd w:val="clear" w:color="auto" w:fill="FFFFFF"/>
        </w:rPr>
        <w:t>[</w:t>
      </w:r>
      <w:hyperlink r:id="rId4" w:tgtFrame="_blank" w:history="1">
        <w:r w:rsidRPr="0000388B">
          <w:rPr>
            <w:rStyle w:val="Hyperlink"/>
            <w:rFonts w:ascii="Arial" w:hAnsi="Arial" w:cs="Arial"/>
            <w:color w:val="1155CC"/>
            <w:sz w:val="24"/>
            <w:szCs w:val="24"/>
            <w:shd w:val="clear" w:color="auto" w:fill="FFFFFF"/>
          </w:rPr>
          <w:t>https://www.iru.org/modules/custom/iru_flash/images/location-pin-32.png</w:t>
        </w:r>
      </w:hyperlink>
      <w:r w:rsidRPr="0000388B">
        <w:rPr>
          <w:rFonts w:ascii="Arial" w:hAnsi="Arial" w:cs="Arial"/>
          <w:color w:val="222222"/>
          <w:sz w:val="24"/>
          <w:szCs w:val="24"/>
          <w:shd w:val="clear" w:color="auto" w:fill="FFFFFF"/>
        </w:rPr>
        <w:t>]  BG | 10.04.2025 | Goods</w:t>
      </w:r>
      <w:r w:rsidRPr="0000388B">
        <w:rPr>
          <w:rFonts w:ascii="Arial" w:hAnsi="Arial" w:cs="Arial"/>
          <w:color w:val="222222"/>
          <w:sz w:val="24"/>
          <w:szCs w:val="24"/>
        </w:rPr>
        <w:br/>
      </w:r>
      <w:r w:rsidRPr="0000388B">
        <w:rPr>
          <w:rFonts w:ascii="Arial" w:hAnsi="Arial" w:cs="Arial"/>
          <w:color w:val="222222"/>
          <w:sz w:val="24"/>
          <w:szCs w:val="24"/>
          <w:shd w:val="clear" w:color="auto" w:fill="FFFFFF"/>
        </w:rPr>
        <w:t>All economic operators who import goods or transport goods in transit through the customs territory of the European Union (EU) must declare security and safety data in ICS2 through the entry summary declaration (ENS).</w:t>
      </w:r>
      <w:r w:rsidRPr="0000388B">
        <w:rPr>
          <w:rFonts w:ascii="Arial" w:hAnsi="Arial" w:cs="Arial"/>
          <w:color w:val="222222"/>
          <w:sz w:val="24"/>
          <w:szCs w:val="24"/>
        </w:rPr>
        <w:br/>
      </w:r>
      <w:r w:rsidRPr="0000388B">
        <w:rPr>
          <w:rFonts w:ascii="Arial" w:hAnsi="Arial" w:cs="Arial"/>
          <w:color w:val="222222"/>
          <w:sz w:val="24"/>
          <w:szCs w:val="24"/>
          <w:shd w:val="clear" w:color="auto" w:fill="FFFFFF"/>
        </w:rPr>
        <w:t>If goods are brought into the customs territory of the Union by road or rail, the entry summary declaration should be lodged no later than one hour before the arrival of the goods at the place for which the customs office of first entry is the competent office.</w:t>
      </w:r>
      <w:r w:rsidRPr="0000388B">
        <w:rPr>
          <w:rFonts w:ascii="Arial" w:hAnsi="Arial" w:cs="Arial"/>
          <w:color w:val="222222"/>
          <w:sz w:val="24"/>
          <w:szCs w:val="24"/>
        </w:rPr>
        <w:br/>
      </w:r>
      <w:r w:rsidRPr="0000388B">
        <w:rPr>
          <w:rFonts w:ascii="Arial" w:hAnsi="Arial" w:cs="Arial"/>
          <w:color w:val="222222"/>
          <w:sz w:val="24"/>
          <w:szCs w:val="24"/>
          <w:shd w:val="clear" w:color="auto" w:fill="FFFFFF"/>
        </w:rPr>
        <w:t>Additional information on phase 3 of ICS2 is published on the website of the European Commission at </w:t>
      </w:r>
      <w:hyperlink r:id="rId5" w:tgtFrame="_blank" w:history="1">
        <w:r w:rsidRPr="0000388B">
          <w:rPr>
            <w:rStyle w:val="Hyperlink"/>
            <w:rFonts w:ascii="Arial" w:hAnsi="Arial" w:cs="Arial"/>
            <w:color w:val="1155CC"/>
            <w:sz w:val="24"/>
            <w:szCs w:val="24"/>
            <w:shd w:val="clear" w:color="auto" w:fill="FFFFFF"/>
          </w:rPr>
          <w:t>https://taxation-customs.ec.europa.eu/customs-4/customs-security/ics2_en</w:t>
        </w:r>
      </w:hyperlink>
      <w:r w:rsidRPr="0000388B">
        <w:rPr>
          <w:rFonts w:ascii="Arial" w:hAnsi="Arial" w:cs="Arial"/>
          <w:color w:val="222222"/>
          <w:sz w:val="24"/>
          <w:szCs w:val="24"/>
          <w:shd w:val="clear" w:color="auto" w:fill="FFFFFF"/>
        </w:rPr>
        <w:t>. Additional information on ICS2 is also published on the E-portal of the </w:t>
      </w:r>
      <w:r w:rsidRPr="0000388B">
        <w:rPr>
          <w:rStyle w:val="il"/>
          <w:rFonts w:ascii="Arial" w:hAnsi="Arial" w:cs="Arial"/>
          <w:color w:val="222222"/>
          <w:sz w:val="24"/>
          <w:szCs w:val="24"/>
          <w:shd w:val="clear" w:color="auto" w:fill="FFFFFF"/>
        </w:rPr>
        <w:t>Bulgarian</w:t>
      </w:r>
      <w:r w:rsidRPr="0000388B">
        <w:rPr>
          <w:rFonts w:ascii="Arial" w:hAnsi="Arial" w:cs="Arial"/>
          <w:color w:val="222222"/>
          <w:sz w:val="24"/>
          <w:szCs w:val="24"/>
          <w:shd w:val="clear" w:color="auto" w:fill="FFFFFF"/>
        </w:rPr>
        <w:t> Customs Agency, menu “Documents”/ “Current documents” under the section “Import Control System 2 (ICS2)” at </w:t>
      </w:r>
      <w:hyperlink r:id="rId6" w:tgtFrame="_blank" w:history="1">
        <w:r w:rsidRPr="0000388B">
          <w:rPr>
            <w:rStyle w:val="Hyperlink"/>
            <w:rFonts w:ascii="Arial" w:hAnsi="Arial" w:cs="Arial"/>
            <w:color w:val="1155CC"/>
            <w:sz w:val="24"/>
            <w:szCs w:val="24"/>
            <w:shd w:val="clear" w:color="auto" w:fill="FFFFFF"/>
          </w:rPr>
          <w:t>https://ep.customs.bg/eportal/</w:t>
        </w:r>
      </w:hyperlink>
      <w:r w:rsidRPr="0000388B">
        <w:rPr>
          <w:rFonts w:ascii="Arial" w:hAnsi="Arial" w:cs="Arial"/>
          <w:color w:val="222222"/>
          <w:sz w:val="24"/>
          <w:szCs w:val="24"/>
          <w:shd w:val="clear" w:color="auto" w:fill="FFFFFF"/>
        </w:rPr>
        <w:t>.</w:t>
      </w:r>
      <w:r w:rsidRPr="0000388B">
        <w:rPr>
          <w:rFonts w:ascii="Arial" w:hAnsi="Arial" w:cs="Arial"/>
          <w:color w:val="222222"/>
          <w:sz w:val="24"/>
          <w:szCs w:val="24"/>
        </w:rPr>
        <w:br/>
      </w:r>
      <w:r w:rsidRPr="0000388B">
        <w:rPr>
          <w:rFonts w:ascii="Arial" w:hAnsi="Arial" w:cs="Arial"/>
          <w:color w:val="222222"/>
          <w:sz w:val="24"/>
          <w:szCs w:val="24"/>
          <w:shd w:val="clear" w:color="auto" w:fill="FFFFFF"/>
        </w:rPr>
        <w:t>Carriers that are not ready to submit data to ICS2 and have received an EORI number in </w:t>
      </w:r>
      <w:r w:rsidRPr="0000388B">
        <w:rPr>
          <w:rStyle w:val="il"/>
          <w:rFonts w:ascii="Arial" w:hAnsi="Arial" w:cs="Arial"/>
          <w:color w:val="222222"/>
          <w:sz w:val="24"/>
          <w:szCs w:val="24"/>
          <w:shd w:val="clear" w:color="auto" w:fill="FFFFFF"/>
        </w:rPr>
        <w:t>Bulgaria</w:t>
      </w:r>
      <w:r w:rsidRPr="0000388B">
        <w:rPr>
          <w:rFonts w:ascii="Arial" w:hAnsi="Arial" w:cs="Arial"/>
          <w:color w:val="222222"/>
          <w:sz w:val="24"/>
          <w:szCs w:val="24"/>
          <w:shd w:val="clear" w:color="auto" w:fill="FFFFFF"/>
        </w:rPr>
        <w:t> may request a deployment window with a free text application sent to </w:t>
      </w:r>
      <w:hyperlink r:id="rId7" w:tgtFrame="_blank" w:history="1">
        <w:r w:rsidRPr="0000388B">
          <w:rPr>
            <w:rStyle w:val="Hyperlink"/>
            <w:rFonts w:ascii="Arial" w:hAnsi="Arial" w:cs="Arial"/>
            <w:color w:val="1155CC"/>
            <w:sz w:val="24"/>
            <w:szCs w:val="24"/>
            <w:shd w:val="clear" w:color="auto" w:fill="FFFFFF"/>
          </w:rPr>
          <w:t>servicedesk@customs.bg</w:t>
        </w:r>
      </w:hyperlink>
      <w:r w:rsidRPr="0000388B">
        <w:rPr>
          <w:rFonts w:ascii="Arial" w:hAnsi="Arial" w:cs="Arial"/>
          <w:color w:val="222222"/>
          <w:sz w:val="24"/>
          <w:szCs w:val="24"/>
          <w:shd w:val="clear" w:color="auto" w:fill="FFFFFF"/>
        </w:rPr>
        <w:t>&lt;mailto</w:t>
      </w:r>
      <w:proofErr w:type="gramStart"/>
      <w:r w:rsidRPr="0000388B">
        <w:rPr>
          <w:rFonts w:ascii="Arial" w:hAnsi="Arial" w:cs="Arial"/>
          <w:color w:val="222222"/>
          <w:sz w:val="24"/>
          <w:szCs w:val="24"/>
          <w:shd w:val="clear" w:color="auto" w:fill="FFFFFF"/>
        </w:rPr>
        <w:t>:</w:t>
      </w:r>
      <w:proofErr w:type="gramEnd"/>
      <w:hyperlink r:id="rId8" w:tgtFrame="_blank" w:history="1">
        <w:r w:rsidRPr="0000388B">
          <w:rPr>
            <w:rStyle w:val="Hyperlink"/>
            <w:rFonts w:ascii="Arial" w:hAnsi="Arial" w:cs="Arial"/>
            <w:color w:val="1155CC"/>
            <w:sz w:val="24"/>
            <w:szCs w:val="24"/>
            <w:shd w:val="clear" w:color="auto" w:fill="FFFFFF"/>
          </w:rPr>
          <w:t>servicedesk@customs.bg</w:t>
        </w:r>
      </w:hyperlink>
      <w:r w:rsidRPr="0000388B">
        <w:rPr>
          <w:rFonts w:ascii="Arial" w:hAnsi="Arial" w:cs="Arial"/>
          <w:color w:val="222222"/>
          <w:sz w:val="24"/>
          <w:szCs w:val="24"/>
          <w:shd w:val="clear" w:color="auto" w:fill="FFFFFF"/>
        </w:rPr>
        <w:t xml:space="preserve">&gt;. The application must contain the EORI number of the economic operator (starting with BG), company name and mode of transport. Upon receipt of the application registration number, the transition period for the specific carrier is considered to be </w:t>
      </w:r>
      <w:proofErr w:type="spellStart"/>
      <w:r w:rsidRPr="0000388B">
        <w:rPr>
          <w:rFonts w:ascii="Arial" w:hAnsi="Arial" w:cs="Arial"/>
          <w:color w:val="222222"/>
          <w:sz w:val="24"/>
          <w:szCs w:val="24"/>
          <w:shd w:val="clear" w:color="auto" w:fill="FFFFFF"/>
        </w:rPr>
        <w:t>authorised</w:t>
      </w:r>
      <w:proofErr w:type="spellEnd"/>
      <w:r w:rsidRPr="0000388B">
        <w:rPr>
          <w:rFonts w:ascii="Arial" w:hAnsi="Arial" w:cs="Arial"/>
          <w:color w:val="222222"/>
          <w:sz w:val="24"/>
          <w:szCs w:val="24"/>
          <w:shd w:val="clear" w:color="auto" w:fill="FFFFFF"/>
        </w:rPr>
        <w:t>. A single application can request a postponement for only one company.</w:t>
      </w:r>
      <w:r w:rsidRPr="0000388B">
        <w:rPr>
          <w:rFonts w:ascii="Arial" w:hAnsi="Arial" w:cs="Arial"/>
          <w:color w:val="222222"/>
          <w:sz w:val="24"/>
          <w:szCs w:val="24"/>
        </w:rPr>
        <w:br/>
      </w:r>
      <w:r w:rsidRPr="0000388B">
        <w:rPr>
          <w:rFonts w:ascii="Arial" w:hAnsi="Arial" w:cs="Arial"/>
          <w:color w:val="222222"/>
          <w:sz w:val="24"/>
          <w:szCs w:val="24"/>
          <w:shd w:val="clear" w:color="auto" w:fill="FFFFFF"/>
        </w:rPr>
        <w:t>The postponement window has a fixed deadline of 31/08/2025. After this date, all road and rail carriers should be in compliance with the requirements of ICS2.</w:t>
      </w:r>
      <w:r w:rsidRPr="0000388B">
        <w:rPr>
          <w:rFonts w:ascii="Arial" w:hAnsi="Arial" w:cs="Arial"/>
          <w:color w:val="222222"/>
          <w:sz w:val="24"/>
          <w:szCs w:val="24"/>
        </w:rPr>
        <w:br/>
      </w:r>
      <w:r w:rsidRPr="0000388B">
        <w:rPr>
          <w:rFonts w:ascii="Arial" w:hAnsi="Arial" w:cs="Arial"/>
          <w:color w:val="222222"/>
          <w:sz w:val="24"/>
          <w:szCs w:val="24"/>
          <w:shd w:val="clear" w:color="auto" w:fill="FFFFFF"/>
        </w:rPr>
        <w:t>After 1 September 2025, the deadline for implementing phase 6 of the transit system (NCTS6), economic operators will be able to submit the ENS data to ICS2 together with the transit declaration in NCTS 6, provided that the customs office of departure is located in a Member State or a Contracting Party to the Convention on a Common Transit Procedure that has chosen the opt-in approach, under which the transit declaration can contain the security and safety data upon entry into the customs territory of the Union without the need to submit a separate ENS outside NCTS.</w:t>
      </w:r>
      <w:r w:rsidRPr="0000388B">
        <w:rPr>
          <w:rFonts w:ascii="Arial" w:hAnsi="Arial" w:cs="Arial"/>
          <w:color w:val="222222"/>
          <w:sz w:val="24"/>
          <w:szCs w:val="24"/>
        </w:rPr>
        <w:br/>
      </w:r>
      <w:r w:rsidRPr="0000388B">
        <w:rPr>
          <w:rFonts w:ascii="Arial" w:hAnsi="Arial" w:cs="Arial"/>
          <w:color w:val="222222"/>
          <w:sz w:val="24"/>
          <w:szCs w:val="24"/>
          <w:shd w:val="clear" w:color="auto" w:fill="FFFFFF"/>
        </w:rPr>
        <w:t>Source: </w:t>
      </w:r>
      <w:r w:rsidRPr="0000388B">
        <w:rPr>
          <w:rStyle w:val="il"/>
          <w:rFonts w:ascii="Arial" w:hAnsi="Arial" w:cs="Arial"/>
          <w:color w:val="222222"/>
          <w:sz w:val="24"/>
          <w:szCs w:val="24"/>
          <w:shd w:val="clear" w:color="auto" w:fill="FFFFFF"/>
        </w:rPr>
        <w:t>Bulgarian</w:t>
      </w:r>
      <w:r w:rsidRPr="0000388B">
        <w:rPr>
          <w:rFonts w:ascii="Arial" w:hAnsi="Arial" w:cs="Arial"/>
          <w:color w:val="222222"/>
          <w:sz w:val="24"/>
          <w:szCs w:val="24"/>
          <w:shd w:val="clear" w:color="auto" w:fill="FFFFFF"/>
        </w:rPr>
        <w:t> customs</w:t>
      </w:r>
    </w:p>
    <w:p w:rsidR="0050257E" w:rsidRPr="000669F3" w:rsidRDefault="0050257E" w:rsidP="0050257E">
      <w:pPr>
        <w:bidi w:val="0"/>
        <w:spacing w:after="0" w:line="240" w:lineRule="auto"/>
        <w:rPr>
          <w:sz w:val="24"/>
          <w:szCs w:val="24"/>
        </w:rPr>
      </w:pPr>
    </w:p>
    <w:p w:rsidR="0050257E" w:rsidRPr="000669F3" w:rsidRDefault="0050257E" w:rsidP="0050257E">
      <w:pPr>
        <w:bidi w:val="0"/>
        <w:spacing w:after="0" w:line="240" w:lineRule="auto"/>
        <w:rPr>
          <w:sz w:val="24"/>
          <w:szCs w:val="24"/>
        </w:rPr>
      </w:pPr>
      <w:r w:rsidRPr="000669F3">
        <w:rPr>
          <w:rFonts w:ascii="Arial" w:hAnsi="Arial" w:cs="Arial"/>
          <w:color w:val="222222"/>
          <w:sz w:val="24"/>
          <w:szCs w:val="24"/>
          <w:shd w:val="clear" w:color="auto" w:fill="FFFFFF"/>
        </w:rPr>
        <w:t>New road user charges in </w:t>
      </w:r>
      <w:r w:rsidRPr="000669F3">
        <w:rPr>
          <w:rStyle w:val="il"/>
          <w:rFonts w:ascii="Arial" w:hAnsi="Arial" w:cs="Arial"/>
          <w:color w:val="222222"/>
          <w:sz w:val="24"/>
          <w:szCs w:val="24"/>
          <w:shd w:val="clear" w:color="auto" w:fill="FFFFFF"/>
        </w:rPr>
        <w:t>Bulgaria</w:t>
      </w:r>
      <w:r w:rsidRPr="000669F3">
        <w:rPr>
          <w:rFonts w:ascii="Arial" w:hAnsi="Arial" w:cs="Arial"/>
          <w:color w:val="222222"/>
          <w:sz w:val="24"/>
          <w:szCs w:val="24"/>
        </w:rPr>
        <w:br/>
      </w:r>
      <w:r w:rsidRPr="000669F3">
        <w:rPr>
          <w:rFonts w:ascii="Arial" w:hAnsi="Arial" w:cs="Arial"/>
          <w:color w:val="222222"/>
          <w:sz w:val="24"/>
          <w:szCs w:val="24"/>
          <w:shd w:val="clear" w:color="auto" w:fill="FFFFFF"/>
        </w:rPr>
        <w:t>[</w:t>
      </w:r>
      <w:hyperlink r:id="rId9" w:tgtFrame="_blank" w:history="1">
        <w:r w:rsidRPr="000669F3">
          <w:rPr>
            <w:rStyle w:val="Hyperlink"/>
            <w:rFonts w:ascii="Arial" w:hAnsi="Arial" w:cs="Arial"/>
            <w:color w:val="1155CC"/>
            <w:sz w:val="24"/>
            <w:szCs w:val="24"/>
            <w:shd w:val="clear" w:color="auto" w:fill="FFFFFF"/>
          </w:rPr>
          <w:t>https://www.iru.org/modules/custom/iru_flash/images/location-pin-32.png</w:t>
        </w:r>
      </w:hyperlink>
      <w:r w:rsidRPr="000669F3">
        <w:rPr>
          <w:rFonts w:ascii="Arial" w:hAnsi="Arial" w:cs="Arial"/>
          <w:color w:val="222222"/>
          <w:sz w:val="24"/>
          <w:szCs w:val="24"/>
          <w:shd w:val="clear" w:color="auto" w:fill="FFFFFF"/>
        </w:rPr>
        <w:t>]  BG | 02.04.2025 | Goods, Passenger</w:t>
      </w:r>
      <w:r w:rsidRPr="000669F3">
        <w:rPr>
          <w:rFonts w:ascii="Arial" w:hAnsi="Arial" w:cs="Arial"/>
          <w:color w:val="222222"/>
          <w:sz w:val="24"/>
          <w:szCs w:val="24"/>
        </w:rPr>
        <w:br/>
      </w:r>
      <w:r w:rsidRPr="000669F3">
        <w:rPr>
          <w:rFonts w:ascii="Arial" w:hAnsi="Arial" w:cs="Arial"/>
          <w:color w:val="222222"/>
          <w:sz w:val="24"/>
          <w:szCs w:val="24"/>
          <w:shd w:val="clear" w:color="auto" w:fill="FFFFFF"/>
        </w:rPr>
        <w:t>The </w:t>
      </w:r>
      <w:r w:rsidRPr="000669F3">
        <w:rPr>
          <w:rStyle w:val="il"/>
          <w:rFonts w:ascii="Arial" w:hAnsi="Arial" w:cs="Arial"/>
          <w:color w:val="222222"/>
          <w:sz w:val="24"/>
          <w:szCs w:val="24"/>
          <w:shd w:val="clear" w:color="auto" w:fill="FFFFFF"/>
        </w:rPr>
        <w:t>Bulgarian</w:t>
      </w:r>
      <w:r w:rsidRPr="000669F3">
        <w:rPr>
          <w:rFonts w:ascii="Arial" w:hAnsi="Arial" w:cs="Arial"/>
          <w:color w:val="222222"/>
          <w:sz w:val="24"/>
          <w:szCs w:val="24"/>
          <w:shd w:val="clear" w:color="auto" w:fill="FFFFFF"/>
        </w:rPr>
        <w:t> government has officially approved changes to road user charges, with new toll fees for heavy goods vehicles and buses taking effect on April 1, followed by an increase in vignette prices from May 1.</w:t>
      </w:r>
      <w:r w:rsidRPr="000669F3">
        <w:rPr>
          <w:rFonts w:ascii="Arial" w:hAnsi="Arial" w:cs="Arial"/>
          <w:color w:val="222222"/>
          <w:sz w:val="24"/>
          <w:szCs w:val="24"/>
        </w:rPr>
        <w:br/>
      </w:r>
      <w:r w:rsidRPr="000669F3">
        <w:rPr>
          <w:rFonts w:ascii="Arial" w:hAnsi="Arial" w:cs="Arial"/>
          <w:color w:val="222222"/>
          <w:sz w:val="24"/>
          <w:szCs w:val="24"/>
          <w:shd w:val="clear" w:color="auto" w:fill="FFFFFF"/>
        </w:rPr>
        <w:t>You can access IRU Intelligence Monitoring updates here&lt;</w:t>
      </w:r>
      <w:hyperlink r:id="rId10" w:tgtFrame="_blank" w:history="1">
        <w:r w:rsidRPr="000669F3">
          <w:rPr>
            <w:rStyle w:val="Hyperlink"/>
            <w:rFonts w:ascii="Arial" w:hAnsi="Arial" w:cs="Arial"/>
            <w:color w:val="1155CC"/>
            <w:sz w:val="24"/>
            <w:szCs w:val="24"/>
            <w:shd w:val="clear" w:color="auto" w:fill="FFFFFF"/>
          </w:rPr>
          <w:t>https://www.iru.org/system/files/IRU%20Intelligence%20Monitoring%20-%20Tolling%20status%20in%20the%20EU.pdf</w:t>
        </w:r>
      </w:hyperlink>
      <w:r w:rsidRPr="000669F3">
        <w:rPr>
          <w:rFonts w:ascii="Arial" w:hAnsi="Arial" w:cs="Arial"/>
          <w:color w:val="222222"/>
          <w:sz w:val="24"/>
          <w:szCs w:val="24"/>
          <w:shd w:val="clear" w:color="auto" w:fill="FFFFFF"/>
        </w:rPr>
        <w:t>&gt; to explore more on tolls price trends in Europe.</w:t>
      </w:r>
      <w:r w:rsidRPr="000669F3">
        <w:rPr>
          <w:rFonts w:ascii="Arial" w:hAnsi="Arial" w:cs="Arial"/>
          <w:color w:val="222222"/>
          <w:sz w:val="24"/>
          <w:szCs w:val="24"/>
        </w:rPr>
        <w:br/>
      </w:r>
      <w:r w:rsidRPr="000669F3">
        <w:rPr>
          <w:rFonts w:ascii="Arial" w:hAnsi="Arial" w:cs="Arial"/>
          <w:color w:val="222222"/>
          <w:sz w:val="24"/>
          <w:szCs w:val="24"/>
          <w:shd w:val="clear" w:color="auto" w:fill="FFFFFF"/>
        </w:rPr>
        <w:t>Source: AEBTRI and IRU</w:t>
      </w:r>
      <w:r w:rsidRPr="000669F3">
        <w:rPr>
          <w:rFonts w:ascii="Arial" w:hAnsi="Arial" w:cs="Arial"/>
          <w:color w:val="222222"/>
          <w:sz w:val="24"/>
          <w:szCs w:val="24"/>
        </w:rPr>
        <w:br/>
      </w:r>
    </w:p>
    <w:p w:rsidR="003B624E" w:rsidRDefault="003B624E" w:rsidP="0050257E">
      <w:pPr>
        <w:bidi w:val="0"/>
      </w:pPr>
      <w:bookmarkStart w:id="0" w:name="_GoBack"/>
      <w:bookmarkEnd w:id="0"/>
    </w:p>
    <w:sectPr w:rsidR="003B624E" w:rsidSect="000669F3">
      <w:pgSz w:w="11906" w:h="16838"/>
      <w:pgMar w:top="709" w:right="1133" w:bottom="426" w:left="993"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57E"/>
    <w:rsid w:val="003B624E"/>
    <w:rsid w:val="0050257E"/>
    <w:rsid w:val="00F630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E8DC66-5402-4DEE-880F-7B575AB5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8"/>
        <w:szCs w:val="28"/>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57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
    <w:name w:val="il"/>
    <w:basedOn w:val="DefaultParagraphFont"/>
    <w:rsid w:val="0050257E"/>
  </w:style>
  <w:style w:type="character" w:styleId="Hyperlink">
    <w:name w:val="Hyperlink"/>
    <w:basedOn w:val="DefaultParagraphFont"/>
    <w:uiPriority w:val="99"/>
    <w:unhideWhenUsed/>
    <w:rsid w:val="005025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desk@customs.bg" TargetMode="External"/><Relationship Id="rId3" Type="http://schemas.openxmlformats.org/officeDocument/2006/relationships/webSettings" Target="webSettings.xml"/><Relationship Id="rId7" Type="http://schemas.openxmlformats.org/officeDocument/2006/relationships/hyperlink" Target="mailto:servicedesk@customs.b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p.customs.bg/eportal/" TargetMode="External"/><Relationship Id="rId11" Type="http://schemas.openxmlformats.org/officeDocument/2006/relationships/fontTable" Target="fontTable.xml"/><Relationship Id="rId5" Type="http://schemas.openxmlformats.org/officeDocument/2006/relationships/hyperlink" Target="https://taxation-customs.ec.europa.eu/customs-4/customs-security/ics2_en" TargetMode="External"/><Relationship Id="rId10" Type="http://schemas.openxmlformats.org/officeDocument/2006/relationships/hyperlink" Target="https://www.iru.org/system/files/IRU%20Intelligence%20Monitoring%20-%20Tolling%20status%20in%20the%20EU.pdf" TargetMode="External"/><Relationship Id="rId4" Type="http://schemas.openxmlformats.org/officeDocument/2006/relationships/hyperlink" Target="https://www.iru.org/modules/custom/iru_flash/images/location-pin-32.png" TargetMode="External"/><Relationship Id="rId9" Type="http://schemas.openxmlformats.org/officeDocument/2006/relationships/hyperlink" Target="https://www.iru.org/modules/custom/iru_flash/images/location-pin-32.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level.ir</dc:creator>
  <cp:keywords/>
  <dc:description/>
  <cp:lastModifiedBy>level.ir</cp:lastModifiedBy>
  <cp:revision>1</cp:revision>
  <dcterms:created xsi:type="dcterms:W3CDTF">2025-07-05T08:39:00Z</dcterms:created>
  <dcterms:modified xsi:type="dcterms:W3CDTF">2025-07-05T08:40:00Z</dcterms:modified>
</cp:coreProperties>
</file>